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8F57CED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</w:t>
      </w:r>
      <w:r w:rsidR="00AE5BBB">
        <w:rPr>
          <w:lang w:val="en-US"/>
        </w:rPr>
        <w:t>30</w:t>
      </w:r>
      <w:r w:rsidR="001F207E">
        <w:rPr>
          <w:lang w:val="en-US"/>
        </w:rPr>
        <w:t>1608</w:t>
      </w:r>
    </w:p>
    <w:p w14:paraId="65F55581" w14:textId="22CC4B44" w:rsidR="008A22CF" w:rsidRPr="00C0585F" w:rsidRDefault="00AE5BBB" w:rsidP="008A22CF">
      <w:pPr>
        <w:pStyle w:val="3GPPHeader"/>
        <w:rPr>
          <w:lang w:val="en-US"/>
        </w:rPr>
      </w:pPr>
      <w:r>
        <w:rPr>
          <w:lang w:val="en-US"/>
        </w:rPr>
        <w:t>Athens</w:t>
      </w:r>
      <w:r w:rsidR="00383317">
        <w:rPr>
          <w:lang w:val="en-US"/>
        </w:rPr>
        <w:t xml:space="preserve">, </w:t>
      </w:r>
      <w:r>
        <w:rPr>
          <w:lang w:val="en-US"/>
        </w:rPr>
        <w:t>Greece</w:t>
      </w:r>
      <w:r w:rsidR="00837AD9" w:rsidRPr="00C0585F">
        <w:rPr>
          <w:lang w:val="en-US"/>
        </w:rPr>
        <w:t xml:space="preserve">, </w:t>
      </w:r>
      <w:r>
        <w:rPr>
          <w:lang w:val="en-US"/>
        </w:rPr>
        <w:t>Feb</w:t>
      </w:r>
      <w:r w:rsidR="00837AD9" w:rsidRPr="00C0585F">
        <w:rPr>
          <w:lang w:val="en-US"/>
        </w:rPr>
        <w:t xml:space="preserve"> </w:t>
      </w:r>
      <w:r>
        <w:rPr>
          <w:lang w:val="en-US"/>
        </w:rPr>
        <w:t>2</w:t>
      </w:r>
      <w:r w:rsidR="00F21F9A">
        <w:rPr>
          <w:lang w:val="en-US"/>
        </w:rPr>
        <w:t>7</w:t>
      </w:r>
      <w:r w:rsidRPr="00AE5BB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March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3</w:t>
      </w:r>
      <w:r w:rsidRPr="00AE5BBB">
        <w:rPr>
          <w:vertAlign w:val="superscript"/>
          <w:lang w:val="en-US"/>
        </w:rPr>
        <w:t>rd</w:t>
      </w:r>
      <w:r w:rsidR="00837AD9" w:rsidRPr="00C0585F">
        <w:rPr>
          <w:lang w:val="en-US"/>
        </w:rPr>
        <w:t>, 202</w:t>
      </w:r>
      <w:r>
        <w:rPr>
          <w:lang w:val="en-US"/>
        </w:rPr>
        <w:t>3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4EAFD7B5" w:rsidR="008A22CF" w:rsidRPr="00A00C1C" w:rsidRDefault="008A22CF" w:rsidP="008A22CF">
      <w:pPr>
        <w:pStyle w:val="3GPPHeader"/>
        <w:rPr>
          <w:sz w:val="22"/>
          <w:lang w:val="en-US"/>
        </w:rPr>
      </w:pPr>
      <w:r w:rsidRPr="00A00C1C">
        <w:rPr>
          <w:sz w:val="22"/>
          <w:lang w:val="en-US"/>
        </w:rPr>
        <w:t>Agenda Item:</w:t>
      </w:r>
      <w:r w:rsidRPr="00A00C1C">
        <w:rPr>
          <w:sz w:val="22"/>
          <w:lang w:val="en-US"/>
        </w:rPr>
        <w:tab/>
      </w:r>
      <w:r w:rsidR="00BF58B9">
        <w:rPr>
          <w:sz w:val="22"/>
          <w:lang w:val="en-US"/>
        </w:rPr>
        <w:t>9.7.3.2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7DAE5131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4A30FF">
        <w:rPr>
          <w:sz w:val="22"/>
          <w:lang w:val="en-US"/>
        </w:rPr>
        <w:t>On beam type for beam correspondence requirements for initial access and RRC_INACTIVE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715C3380" w:rsidR="003524B7" w:rsidRDefault="008154B8" w:rsidP="006D75DD">
      <w:pPr>
        <w:jc w:val="both"/>
        <w:rPr>
          <w:lang w:val="en-US"/>
        </w:rPr>
      </w:pPr>
      <w:bookmarkStart w:id="2" w:name="OLE_LINK13"/>
      <w:r>
        <w:rPr>
          <w:lang w:val="en-US"/>
        </w:rPr>
        <w:t>In RAN4#105, RAN4 discussed intensively that rough beam or fine beam should be assumed for specifying the beam correspondence requirements for initial access and RRC_INACTIVE, and there are views that it should be implementation agnostic however there were concerns on any relaxation, therefore the conclusion was to postpone and focus on beam correspondence requirements</w:t>
      </w:r>
      <w:r w:rsidR="00A37D18">
        <w:rPr>
          <w:lang w:val="en-US"/>
        </w:rPr>
        <w:t xml:space="preserve"> [1]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740" w:rsidRPr="001F207E" w14:paraId="63517A75" w14:textId="77777777" w:rsidTr="00341740">
        <w:tc>
          <w:tcPr>
            <w:tcW w:w="9629" w:type="dxa"/>
          </w:tcPr>
          <w:p w14:paraId="2C6399C9" w14:textId="77777777" w:rsidR="002435B1" w:rsidRPr="002435B1" w:rsidRDefault="002435B1" w:rsidP="002435B1">
            <w:pPr>
              <w:rPr>
                <w:b/>
                <w:i/>
                <w:iCs/>
                <w:sz w:val="18"/>
                <w:szCs w:val="18"/>
                <w:u w:val="single"/>
                <w:lang w:val="en-US" w:eastAsia="ko-KR"/>
              </w:rPr>
            </w:pPr>
            <w:r w:rsidRPr="002435B1">
              <w:rPr>
                <w:b/>
                <w:i/>
                <w:iCs/>
                <w:sz w:val="18"/>
                <w:szCs w:val="18"/>
                <w:u w:val="single"/>
                <w:lang w:val="en-US" w:eastAsia="ko-KR"/>
              </w:rPr>
              <w:t>Issue 1-1: Rough beam vs Fine beam</w:t>
            </w:r>
          </w:p>
          <w:p w14:paraId="040F7D3A" w14:textId="77777777" w:rsidR="002435B1" w:rsidRPr="002435B1" w:rsidRDefault="002435B1" w:rsidP="002435B1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 w:val="18"/>
                <w:szCs w:val="18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</w:rPr>
              <w:t>Proposals</w:t>
            </w:r>
          </w:p>
          <w:p w14:paraId="6143DF4D" w14:textId="77777777" w:rsidR="002435B1" w:rsidRPr="002435B1" w:rsidRDefault="002435B1" w:rsidP="002435B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 xml:space="preserve">Option 1: </w:t>
            </w:r>
            <w:r w:rsidRPr="002435B1">
              <w:rPr>
                <w:i/>
                <w:iCs/>
                <w:sz w:val="18"/>
                <w:szCs w:val="18"/>
                <w:lang w:val="en-US"/>
              </w:rPr>
              <w:t>Beam refinement in RRC_INACTIVE and initial access is made in the same way as RRC_CONNECTED.</w:t>
            </w:r>
          </w:p>
          <w:p w14:paraId="03DA86E3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 xml:space="preserve">Option 1a: with the same SSB configuration as Rel-16 SSB BC (RRC_CONNECTED) case. </w:t>
            </w:r>
          </w:p>
          <w:p w14:paraId="717553E1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1b: with some modification in SSB configuration.</w:t>
            </w:r>
          </w:p>
          <w:p w14:paraId="3D1FDF64" w14:textId="77777777" w:rsidR="002435B1" w:rsidRPr="002435B1" w:rsidRDefault="002435B1" w:rsidP="002435B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2: It is allowed not to refine beams in RRC_INACTIVE and initial access.</w:t>
            </w:r>
          </w:p>
          <w:p w14:paraId="0AC9D486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2a: It is allowed to use only one antenna element.</w:t>
            </w:r>
          </w:p>
          <w:p w14:paraId="7BEAE04F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2b: Beam gain is 7 dB lower than RRC_CONNECTED.</w:t>
            </w:r>
          </w:p>
          <w:p w14:paraId="7CAC2969" w14:textId="77777777" w:rsidR="002435B1" w:rsidRPr="002435B1" w:rsidRDefault="002435B1" w:rsidP="002435B1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 xml:space="preserve">The Msg1 EIRP spherical coverage requirement for PC3 is [7+xdB] higher than the EIRP spherical coverage requirement specified in 6.2.1 for connected mode. </w:t>
            </w:r>
          </w:p>
          <w:p w14:paraId="73BDA4F1" w14:textId="77777777" w:rsidR="002435B1" w:rsidRPr="002435B1" w:rsidRDefault="002435B1" w:rsidP="002435B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3: Somewhere in the middle.</w:t>
            </w:r>
          </w:p>
          <w:p w14:paraId="4D6D9EDF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3a: Refinement is done but is not as good as RRC_CONNECTED.</w:t>
            </w:r>
          </w:p>
          <w:p w14:paraId="0174AB74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3b: Refinement is done in CG-SDT but is not in RA-SDT and initial access.</w:t>
            </w:r>
          </w:p>
          <w:p w14:paraId="73E23DD4" w14:textId="77777777" w:rsidR="002435B1" w:rsidRPr="002435B1" w:rsidRDefault="002435B1" w:rsidP="002435B1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3c: Refinement in DRX is not as good as continuous reception.</w:t>
            </w:r>
          </w:p>
          <w:p w14:paraId="496AF32A" w14:textId="77777777" w:rsidR="002435B1" w:rsidRPr="002435B1" w:rsidRDefault="002435B1" w:rsidP="002435B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SimSun"/>
                <w:i/>
                <w:iCs/>
                <w:sz w:val="18"/>
                <w:szCs w:val="18"/>
                <w:lang w:val="en-US"/>
              </w:rPr>
              <w:t>Option 4: Rough beam or Fine beam used in IA is up to UE implementation and requirements should be implementation agnostic.</w:t>
            </w:r>
          </w:p>
          <w:p w14:paraId="26FF6F19" w14:textId="77777777" w:rsidR="002435B1" w:rsidRPr="002435B1" w:rsidRDefault="002435B1" w:rsidP="002435B1">
            <w:pPr>
              <w:ind w:firstLine="284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</w:p>
          <w:p w14:paraId="3055C795" w14:textId="77777777" w:rsidR="002435B1" w:rsidRPr="002435B1" w:rsidRDefault="002435B1" w:rsidP="002435B1">
            <w:pPr>
              <w:spacing w:after="120"/>
              <w:ind w:left="540"/>
              <w:rPr>
                <w:rFonts w:eastAsia="Times New Roman"/>
                <w:i/>
                <w:iCs/>
                <w:sz w:val="18"/>
                <w:szCs w:val="18"/>
              </w:rPr>
            </w:pPr>
            <w:r w:rsidRPr="002435B1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Way forward/Agreements:</w:t>
            </w:r>
          </w:p>
          <w:p w14:paraId="65D66D21" w14:textId="77777777" w:rsidR="002435B1" w:rsidRPr="002435B1" w:rsidRDefault="002435B1" w:rsidP="002435B1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rFonts w:eastAsia="Times New Roman"/>
                <w:i/>
                <w:iCs/>
                <w:sz w:val="18"/>
                <w:szCs w:val="18"/>
                <w:lang w:val="en-US"/>
              </w:rPr>
            </w:pPr>
            <w:r w:rsidRPr="002435B1">
              <w:rPr>
                <w:rFonts w:eastAsia="Times New Roman"/>
                <w:i/>
                <w:iCs/>
                <w:sz w:val="18"/>
                <w:szCs w:val="18"/>
                <w:lang w:val="en-US"/>
              </w:rPr>
              <w:t>Focus on BC requirements first.</w:t>
            </w:r>
          </w:p>
          <w:p w14:paraId="6BD84810" w14:textId="1E76B1E4" w:rsidR="00341740" w:rsidRPr="002435B1" w:rsidRDefault="00341740" w:rsidP="002435B1">
            <w:p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</w:tr>
    </w:tbl>
    <w:p w14:paraId="01A9894C" w14:textId="77777777" w:rsidR="00AB18F0" w:rsidRDefault="00AB18F0" w:rsidP="006D75DD">
      <w:pPr>
        <w:jc w:val="both"/>
        <w:rPr>
          <w:lang w:val="en-US"/>
        </w:rPr>
      </w:pPr>
    </w:p>
    <w:p w14:paraId="304B4804" w14:textId="0009B268" w:rsidR="00E92373" w:rsidRPr="000E2CCA" w:rsidRDefault="000D352E" w:rsidP="006D75DD">
      <w:pPr>
        <w:jc w:val="both"/>
        <w:rPr>
          <w:lang w:val="en-US"/>
        </w:rPr>
      </w:pPr>
      <w:r>
        <w:rPr>
          <w:lang w:val="en-US"/>
        </w:rPr>
        <w:t xml:space="preserve">With the progress made on beam correspondence requirements, </w:t>
      </w:r>
      <w:r w:rsidR="008431D2">
        <w:rPr>
          <w:lang w:val="en-US"/>
        </w:rPr>
        <w:t>it would be helpful to reach a consensus on this topic.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lastRenderedPageBreak/>
        <w:t>Discussion</w:t>
      </w:r>
    </w:p>
    <w:p w14:paraId="59661B3B" w14:textId="77777777" w:rsidR="009D1EAE" w:rsidRDefault="00854E8C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Conceptually, </w:t>
      </w:r>
      <w:r w:rsidR="00535808">
        <w:rPr>
          <w:bCs/>
          <w:lang w:val="en-US"/>
        </w:rPr>
        <w:t xml:space="preserve">both spherical coverage and </w:t>
      </w:r>
      <w:r>
        <w:rPr>
          <w:bCs/>
          <w:lang w:val="en-US"/>
        </w:rPr>
        <w:t xml:space="preserve">beam correspondence represent UE’s </w:t>
      </w:r>
      <w:r w:rsidRPr="00854E8C">
        <w:rPr>
          <w:b/>
          <w:lang w:val="en-US"/>
        </w:rPr>
        <w:t>beam steering</w:t>
      </w:r>
      <w:r>
        <w:rPr>
          <w:bCs/>
          <w:lang w:val="en-US"/>
        </w:rPr>
        <w:t xml:space="preserve"> capability</w:t>
      </w:r>
      <w:r w:rsidR="00EF05FD">
        <w:rPr>
          <w:bCs/>
          <w:lang w:val="en-US"/>
        </w:rPr>
        <w:t xml:space="preserve">, while beam width is UE’s </w:t>
      </w:r>
      <w:r w:rsidR="00EF05FD" w:rsidRPr="00EF05FD">
        <w:rPr>
          <w:b/>
          <w:lang w:val="en-US"/>
        </w:rPr>
        <w:t>beam forming</w:t>
      </w:r>
      <w:r w:rsidR="00EF05FD">
        <w:rPr>
          <w:bCs/>
          <w:lang w:val="en-US"/>
        </w:rPr>
        <w:t xml:space="preserve"> capability.</w:t>
      </w:r>
      <w:r>
        <w:rPr>
          <w:bCs/>
          <w:lang w:val="en-US"/>
        </w:rPr>
        <w:t xml:space="preserve"> </w:t>
      </w:r>
      <w:r w:rsidR="00EF05FD">
        <w:rPr>
          <w:bCs/>
          <w:lang w:val="en-US"/>
        </w:rPr>
        <w:t xml:space="preserve">From RF requirements perspective, </w:t>
      </w:r>
      <w:r w:rsidR="009D1EAE">
        <w:rPr>
          <w:bCs/>
          <w:lang w:val="en-US"/>
        </w:rPr>
        <w:t>spherical</w:t>
      </w:r>
      <w:r w:rsidR="00EF05FD">
        <w:rPr>
          <w:bCs/>
          <w:lang w:val="en-US"/>
        </w:rPr>
        <w:t xml:space="preserve"> requirements </w:t>
      </w:r>
      <w:r w:rsidR="00E107C3">
        <w:rPr>
          <w:bCs/>
          <w:lang w:val="en-US"/>
        </w:rPr>
        <w:t xml:space="preserve">are defined as a certain point on the CDF curve of peak EIRP, which </w:t>
      </w:r>
      <w:r w:rsidR="00EF05FD">
        <w:rPr>
          <w:bCs/>
          <w:lang w:val="en-US"/>
        </w:rPr>
        <w:t xml:space="preserve">do not </w:t>
      </w:r>
      <w:r w:rsidR="00E107C3">
        <w:rPr>
          <w:bCs/>
          <w:lang w:val="en-US"/>
        </w:rPr>
        <w:t xml:space="preserve">directly </w:t>
      </w:r>
      <w:r w:rsidR="00EF05FD">
        <w:rPr>
          <w:bCs/>
          <w:lang w:val="en-US"/>
        </w:rPr>
        <w:t>rely on beam width</w:t>
      </w:r>
      <w:r w:rsidR="009D1EAE">
        <w:rPr>
          <w:bCs/>
          <w:lang w:val="en-US"/>
        </w:rPr>
        <w:t>, and beam correspondence requirement is defined as some tolerance between the concerned uplink transmission EIRP and the reference EIRP based on beam sweeping, and it does not have a direct connection with beam width either</w:t>
      </w:r>
      <w:r w:rsidR="006C4D96">
        <w:rPr>
          <w:bCs/>
          <w:lang w:val="en-US"/>
        </w:rPr>
        <w:t>.</w:t>
      </w:r>
      <w:r w:rsidR="00EF05FD">
        <w:rPr>
          <w:bCs/>
          <w:lang w:val="en-US"/>
        </w:rPr>
        <w:t xml:space="preserve"> </w:t>
      </w:r>
    </w:p>
    <w:p w14:paraId="02E97D93" w14:textId="663DC32F" w:rsidR="002E0D6F" w:rsidRDefault="00536144" w:rsidP="00932D17">
      <w:pPr>
        <w:jc w:val="both"/>
        <w:rPr>
          <w:bCs/>
          <w:lang w:val="en-US"/>
        </w:rPr>
      </w:pPr>
      <w:r>
        <w:rPr>
          <w:bCs/>
          <w:lang w:val="en-US"/>
        </w:rPr>
        <w:t>Although a high</w:t>
      </w:r>
      <w:r w:rsidR="00494ADE">
        <w:rPr>
          <w:bCs/>
          <w:lang w:val="en-US"/>
        </w:rPr>
        <w:t>er</w:t>
      </w:r>
      <w:r>
        <w:rPr>
          <w:bCs/>
          <w:lang w:val="en-US"/>
        </w:rPr>
        <w:t xml:space="preserve"> antenna gain </w:t>
      </w:r>
      <w:r w:rsidR="00494ADE">
        <w:rPr>
          <w:bCs/>
          <w:lang w:val="en-US"/>
        </w:rPr>
        <w:t>usually</w:t>
      </w:r>
      <w:r>
        <w:rPr>
          <w:bCs/>
          <w:lang w:val="en-US"/>
        </w:rPr>
        <w:t xml:space="preserve"> </w:t>
      </w:r>
      <w:r w:rsidR="00494ADE">
        <w:rPr>
          <w:bCs/>
          <w:lang w:val="en-US"/>
        </w:rPr>
        <w:t xml:space="preserve">corresponds to a </w:t>
      </w:r>
      <w:r w:rsidR="007E2C06">
        <w:rPr>
          <w:bCs/>
          <w:lang w:val="en-US"/>
        </w:rPr>
        <w:t>narrow</w:t>
      </w:r>
      <w:r w:rsidR="00494ADE">
        <w:rPr>
          <w:bCs/>
          <w:lang w:val="en-US"/>
        </w:rPr>
        <w:t>er</w:t>
      </w:r>
      <w:r w:rsidR="007E2C06">
        <w:rPr>
          <w:bCs/>
          <w:lang w:val="en-US"/>
        </w:rPr>
        <w:t xml:space="preserve"> beam width,</w:t>
      </w:r>
      <w:r w:rsidR="00494ADE">
        <w:rPr>
          <w:bCs/>
          <w:lang w:val="en-US"/>
        </w:rPr>
        <w:t xml:space="preserve"> the requirements for beam steering capability do not lead to some specific implementations and some headroom is still possible allowing for implementation flexibilities, </w:t>
      </w:r>
      <w:r w:rsidR="006E0DB0">
        <w:rPr>
          <w:bCs/>
          <w:lang w:val="en-US"/>
        </w:rPr>
        <w:t>therefore,</w:t>
      </w:r>
      <w:r w:rsidR="00494ADE">
        <w:rPr>
          <w:bCs/>
          <w:lang w:val="en-US"/>
        </w:rPr>
        <w:t xml:space="preserve"> as long as</w:t>
      </w:r>
      <w:r w:rsidR="00EF05FD">
        <w:rPr>
          <w:bCs/>
          <w:lang w:val="en-US"/>
        </w:rPr>
        <w:t xml:space="preserve"> a UE can </w:t>
      </w:r>
      <w:r w:rsidR="009D1EAE">
        <w:rPr>
          <w:bCs/>
          <w:lang w:val="en-US"/>
        </w:rPr>
        <w:t>satisfy</w:t>
      </w:r>
      <w:r w:rsidR="00EF05FD">
        <w:rPr>
          <w:bCs/>
          <w:lang w:val="en-US"/>
        </w:rPr>
        <w:t xml:space="preserve"> </w:t>
      </w:r>
      <w:r w:rsidR="00FE207C">
        <w:rPr>
          <w:bCs/>
          <w:lang w:val="en-US"/>
        </w:rPr>
        <w:t xml:space="preserve">spherical coverage and </w:t>
      </w:r>
      <w:r w:rsidR="00EF05FD">
        <w:rPr>
          <w:bCs/>
          <w:lang w:val="en-US"/>
        </w:rPr>
        <w:t>beam correspondence requirements, either rough beam or fine beam is up to UE’s choice.</w:t>
      </w:r>
    </w:p>
    <w:p w14:paraId="593F0F63" w14:textId="2AB12BDB" w:rsidR="00EF05FD" w:rsidRDefault="00F071AA" w:rsidP="00932D17">
      <w:pPr>
        <w:jc w:val="both"/>
        <w:rPr>
          <w:b/>
          <w:lang w:val="en-US"/>
        </w:rPr>
      </w:pPr>
      <w:r w:rsidRPr="00F071AA">
        <w:rPr>
          <w:b/>
          <w:lang w:val="en-US"/>
        </w:rPr>
        <w:t>Observation 1: UE’s beam steering capability</w:t>
      </w:r>
      <w:r w:rsidR="000524E4">
        <w:rPr>
          <w:b/>
          <w:lang w:val="en-US"/>
        </w:rPr>
        <w:t xml:space="preserve"> requirements</w:t>
      </w:r>
      <w:r w:rsidRPr="00F071AA">
        <w:rPr>
          <w:b/>
          <w:lang w:val="en-US"/>
        </w:rPr>
        <w:t xml:space="preserve"> </w:t>
      </w:r>
      <w:r w:rsidR="000524E4">
        <w:rPr>
          <w:b/>
          <w:lang w:val="en-US"/>
        </w:rPr>
        <w:t>are</w:t>
      </w:r>
      <w:r w:rsidRPr="00F071AA">
        <w:rPr>
          <w:b/>
          <w:lang w:val="en-US"/>
        </w:rPr>
        <w:t xml:space="preserve"> </w:t>
      </w:r>
      <w:r w:rsidR="000843B7">
        <w:rPr>
          <w:b/>
          <w:lang w:val="en-US"/>
        </w:rPr>
        <w:t xml:space="preserve">specified </w:t>
      </w:r>
      <w:r w:rsidRPr="00F071AA">
        <w:rPr>
          <w:b/>
          <w:lang w:val="en-US"/>
        </w:rPr>
        <w:t>independent</w:t>
      </w:r>
      <w:r w:rsidR="000843B7">
        <w:rPr>
          <w:b/>
          <w:lang w:val="en-US"/>
        </w:rPr>
        <w:t>ly</w:t>
      </w:r>
      <w:r w:rsidRPr="00F071AA">
        <w:rPr>
          <w:b/>
          <w:lang w:val="en-US"/>
        </w:rPr>
        <w:t xml:space="preserve"> from UE’s beam forming capability.</w:t>
      </w:r>
    </w:p>
    <w:p w14:paraId="4EBBBFB4" w14:textId="1998ED6F" w:rsidR="001A279B" w:rsidRPr="00F071AA" w:rsidRDefault="001A279B" w:rsidP="00932D17">
      <w:pPr>
        <w:jc w:val="both"/>
        <w:rPr>
          <w:b/>
          <w:lang w:val="en-US"/>
        </w:rPr>
      </w:pPr>
      <w:r>
        <w:rPr>
          <w:b/>
          <w:lang w:val="en-US"/>
        </w:rPr>
        <w:t>Observation 2: Requirements for UE’s beam steering capability allows implementation flexibilities</w:t>
      </w:r>
      <w:r w:rsidR="00A8664B">
        <w:rPr>
          <w:b/>
          <w:lang w:val="en-US"/>
        </w:rPr>
        <w:t xml:space="preserve"> where beam forming capability can be up to UE’s implementation</w:t>
      </w:r>
      <w:r>
        <w:rPr>
          <w:b/>
          <w:lang w:val="en-US"/>
        </w:rPr>
        <w:t>.</w:t>
      </w:r>
    </w:p>
    <w:p w14:paraId="366C6B33" w14:textId="06681D1E" w:rsidR="00960587" w:rsidRDefault="00BA7C9A" w:rsidP="00932D17">
      <w:pPr>
        <w:jc w:val="both"/>
        <w:rPr>
          <w:bCs/>
          <w:lang w:val="en-US"/>
        </w:rPr>
      </w:pPr>
      <w:r>
        <w:rPr>
          <w:bCs/>
          <w:lang w:val="en-US"/>
        </w:rPr>
        <w:t>For beam correspondence requirements for initial access, if we reuse the same beam correspondence requirements for RRC_CONNECTED, then all UEs are unnecessarily requested to switch on all antenna elements right from the beginning</w:t>
      </w:r>
      <w:r w:rsidR="001C74FC">
        <w:rPr>
          <w:bCs/>
          <w:lang w:val="en-US"/>
        </w:rPr>
        <w:t>. In other words, if a UE is allowed to switch on part of its antenna elements for initial access, then the beam refinement can be done not as good as in RRC_CONNECTED.</w:t>
      </w:r>
      <w:r>
        <w:rPr>
          <w:bCs/>
          <w:lang w:val="en-US"/>
        </w:rPr>
        <w:t xml:space="preserve"> </w:t>
      </w:r>
      <w:r w:rsidR="00960587">
        <w:rPr>
          <w:bCs/>
          <w:lang w:val="en-US"/>
        </w:rPr>
        <w:t xml:space="preserve"> </w:t>
      </w:r>
    </w:p>
    <w:p w14:paraId="26DFE8BB" w14:textId="445A3647" w:rsidR="00A006E7" w:rsidRPr="006A78FE" w:rsidRDefault="002E0D6F" w:rsidP="00932D17">
      <w:pPr>
        <w:jc w:val="both"/>
        <w:rPr>
          <w:bCs/>
          <w:lang w:val="en-US"/>
        </w:rPr>
      </w:pPr>
      <w:bookmarkStart w:id="3" w:name="OLE_LINK11"/>
      <w:bookmarkStart w:id="4" w:name="OLE_LINK19"/>
      <w:r>
        <w:rPr>
          <w:b/>
          <w:lang w:val="en-US"/>
        </w:rPr>
        <w:t>Proposal: RAN4 to take Option 3a for beam refinement in RRC_INACTIVE and initial access, and if it cannot be agreed, then leave it as UE implementation issue, i.e., Option 4.</w:t>
      </w:r>
      <w:bookmarkEnd w:id="3"/>
      <w:bookmarkEnd w:id="4"/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2B1BC411" w:rsidR="003C0851" w:rsidRPr="00830B4C" w:rsidRDefault="008D0D1E" w:rsidP="003C0851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observations and proposals for</w:t>
      </w:r>
      <w:r w:rsidR="006C34F8">
        <w:rPr>
          <w:lang w:val="en-US" w:eastAsia="ja-JP"/>
        </w:rPr>
        <w:t xml:space="preserve"> beam type for beam correspondence requirements for initial access and RRC_INACTIVE</w:t>
      </w:r>
      <w:r w:rsidR="003C0851" w:rsidRPr="00C0585F">
        <w:rPr>
          <w:lang w:val="en-US"/>
        </w:rPr>
        <w:t>:</w:t>
      </w:r>
    </w:p>
    <w:p w14:paraId="49643AFE" w14:textId="77777777" w:rsidR="006C34F8" w:rsidRDefault="006C34F8" w:rsidP="006C34F8">
      <w:pPr>
        <w:jc w:val="both"/>
        <w:rPr>
          <w:b/>
          <w:lang w:val="en-US"/>
        </w:rPr>
      </w:pPr>
      <w:r w:rsidRPr="00F071AA">
        <w:rPr>
          <w:b/>
          <w:lang w:val="en-US"/>
        </w:rPr>
        <w:t>Observation 1: UE’s beam steering capability</w:t>
      </w:r>
      <w:r>
        <w:rPr>
          <w:b/>
          <w:lang w:val="en-US"/>
        </w:rPr>
        <w:t xml:space="preserve"> requirements</w:t>
      </w:r>
      <w:r w:rsidRPr="00F071AA">
        <w:rPr>
          <w:b/>
          <w:lang w:val="en-US"/>
        </w:rPr>
        <w:t xml:space="preserve"> </w:t>
      </w:r>
      <w:r>
        <w:rPr>
          <w:b/>
          <w:lang w:val="en-US"/>
        </w:rPr>
        <w:t>are</w:t>
      </w:r>
      <w:r w:rsidRPr="00F071AA">
        <w:rPr>
          <w:b/>
          <w:lang w:val="en-US"/>
        </w:rPr>
        <w:t xml:space="preserve"> </w:t>
      </w:r>
      <w:r>
        <w:rPr>
          <w:b/>
          <w:lang w:val="en-US"/>
        </w:rPr>
        <w:t xml:space="preserve">specified </w:t>
      </w:r>
      <w:r w:rsidRPr="00F071AA">
        <w:rPr>
          <w:b/>
          <w:lang w:val="en-US"/>
        </w:rPr>
        <w:t>independent</w:t>
      </w:r>
      <w:r>
        <w:rPr>
          <w:b/>
          <w:lang w:val="en-US"/>
        </w:rPr>
        <w:t>ly</w:t>
      </w:r>
      <w:r w:rsidRPr="00F071AA">
        <w:rPr>
          <w:b/>
          <w:lang w:val="en-US"/>
        </w:rPr>
        <w:t xml:space="preserve"> from UE’s beam forming capability.</w:t>
      </w:r>
    </w:p>
    <w:p w14:paraId="14E0FC35" w14:textId="2537ED5B" w:rsidR="0050226F" w:rsidRPr="00C0585F" w:rsidRDefault="006C34F8" w:rsidP="006C34F8">
      <w:pPr>
        <w:jc w:val="both"/>
        <w:rPr>
          <w:b/>
          <w:lang w:val="en-US"/>
        </w:rPr>
      </w:pPr>
      <w:r>
        <w:rPr>
          <w:b/>
          <w:lang w:val="en-US"/>
        </w:rPr>
        <w:t>Observation 2: Requirements for UE’s beam steering capability allows implementation flexibilities where beam forming capability can be up to UE’s implementation.</w:t>
      </w:r>
    </w:p>
    <w:p w14:paraId="048A096C" w14:textId="05F4222C" w:rsidR="0050226F" w:rsidRPr="00C0585F" w:rsidRDefault="006C34F8" w:rsidP="003C0851">
      <w:pPr>
        <w:jc w:val="both"/>
        <w:rPr>
          <w:lang w:val="en-US"/>
        </w:rPr>
      </w:pPr>
      <w:r>
        <w:rPr>
          <w:b/>
          <w:lang w:val="en-US"/>
        </w:rPr>
        <w:t>Proposal: RAN4 to take Option 3a for beam refinement in RRC_INACTIVE and initial access, and if it cannot be agreed, then leave it as UE implementation issue, i.e., Option 4.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9727AFD" w14:textId="18AC3CB4" w:rsidR="001A6DCF" w:rsidRPr="00461CC4" w:rsidRDefault="000C4C77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5" w:name="OLE_LINK12"/>
      <w:bookmarkStart w:id="6" w:name="_Ref101774927"/>
      <w:r>
        <w:rPr>
          <w:lang w:val="en-US"/>
        </w:rPr>
        <w:t xml:space="preserve">R4-2220517 </w:t>
      </w:r>
      <w:r w:rsidRPr="001A73CB">
        <w:rPr>
          <w:lang w:val="en-US"/>
        </w:rPr>
        <w:t>WF on beam correspondence requirements for initial access and RRC_inactive mode</w:t>
      </w:r>
      <w:r>
        <w:rPr>
          <w:lang w:val="en-US"/>
        </w:rPr>
        <w:t>, Nokia.</w:t>
      </w:r>
    </w:p>
    <w:bookmarkEnd w:id="5"/>
    <w:bookmarkEnd w:id="6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27E38" w14:textId="77777777" w:rsidR="00853C84" w:rsidRDefault="00853C84">
      <w:pPr>
        <w:spacing w:after="0"/>
      </w:pPr>
      <w:r>
        <w:separator/>
      </w:r>
    </w:p>
  </w:endnote>
  <w:endnote w:type="continuationSeparator" w:id="0">
    <w:p w14:paraId="284B6476" w14:textId="77777777" w:rsidR="00853C84" w:rsidRDefault="00853C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EDCF9" w14:textId="77777777" w:rsidR="00853C84" w:rsidRDefault="00853C84">
      <w:pPr>
        <w:spacing w:after="0"/>
      </w:pPr>
      <w:r>
        <w:separator/>
      </w:r>
    </w:p>
  </w:footnote>
  <w:footnote w:type="continuationSeparator" w:id="0">
    <w:p w14:paraId="7272671F" w14:textId="77777777" w:rsidR="00853C84" w:rsidRDefault="00853C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21"/>
  </w:num>
  <w:num w:numId="13">
    <w:abstractNumId w:val="6"/>
  </w:num>
  <w:num w:numId="14">
    <w:abstractNumId w:val="7"/>
  </w:num>
  <w:num w:numId="15">
    <w:abstractNumId w:val="20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19"/>
  </w:num>
  <w:num w:numId="21">
    <w:abstractNumId w:val="15"/>
  </w:num>
  <w:num w:numId="22">
    <w:abstractNumId w:val="18"/>
  </w:num>
  <w:num w:numId="23">
    <w:abstractNumId w:val="16"/>
  </w:num>
  <w:num w:numId="24">
    <w:abstractNumId w:val="17"/>
  </w:num>
  <w:num w:numId="25">
    <w:abstractNumId w:val="12"/>
  </w:num>
  <w:num w:numId="26">
    <w:abstractNumId w:val="16"/>
  </w:num>
  <w:num w:numId="27">
    <w:abstractNumId w:val="17"/>
  </w:num>
  <w:num w:numId="28">
    <w:abstractNumId w:val="14"/>
  </w:num>
  <w:num w:numId="29">
    <w:abstractNumId w:val="13"/>
  </w:num>
  <w:num w:numId="3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4E4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3B7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4C77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52E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79B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4FC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07E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5B1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D6F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4ADE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0FF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08"/>
    <w:rsid w:val="00536085"/>
    <w:rsid w:val="00536144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1D7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4F8"/>
    <w:rsid w:val="006C3F7B"/>
    <w:rsid w:val="006C4018"/>
    <w:rsid w:val="006C41DF"/>
    <w:rsid w:val="006C4766"/>
    <w:rsid w:val="006C48AF"/>
    <w:rsid w:val="006C4BEC"/>
    <w:rsid w:val="006C4CA8"/>
    <w:rsid w:val="006C4D96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0DB0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2C06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3C0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4B8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1D2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84"/>
    <w:rsid w:val="00853CC3"/>
    <w:rsid w:val="008542B3"/>
    <w:rsid w:val="00854513"/>
    <w:rsid w:val="00854C7F"/>
    <w:rsid w:val="00854E8C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1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1EA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0C1C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53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37D18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64B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6CE9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4E27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A7C9A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8B9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A1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7C3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5FD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1AA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7C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07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20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207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2023-01-27T15:49:00Z</dcterms:created>
  <dcterms:modified xsi:type="dcterms:W3CDTF">2023-02-17T10:46:00Z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